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44870" w14:textId="618FFBD4" w:rsidR="00B13364" w:rsidRDefault="007463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D1D313F" wp14:editId="45C172B1">
            <wp:extent cx="1990725" cy="447839"/>
            <wp:effectExtent l="0" t="0" r="0" b="9525"/>
            <wp:docPr id="1896727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727531" name="Picture 189672753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245" cy="44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 wp14:anchorId="6BBCF112" wp14:editId="5A3887E0">
            <wp:extent cx="666750" cy="643414"/>
            <wp:effectExtent l="0" t="0" r="0" b="4445"/>
            <wp:docPr id="3127870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87071" name="Picture 3127870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18" cy="64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BF23C" w14:textId="7777777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67" w:lineRule="auto"/>
        <w:ind w:left="1292" w:right="1214" w:hanging="123"/>
        <w:rPr>
          <w:b/>
          <w:bCs/>
          <w:color w:val="1A1A1A"/>
          <w:sz w:val="28"/>
          <w:szCs w:val="28"/>
        </w:rPr>
      </w:pPr>
      <w:r>
        <w:rPr>
          <w:b/>
          <w:bCs/>
          <w:color w:val="1A1A1A"/>
          <w:sz w:val="36"/>
          <w:szCs w:val="36"/>
        </w:rPr>
        <w:t xml:space="preserve">Alabama Mandatory Training Information </w:t>
      </w:r>
      <w:r>
        <w:rPr>
          <w:b/>
          <w:bCs/>
          <w:color w:val="1A1A1A"/>
          <w:sz w:val="28"/>
          <w:szCs w:val="28"/>
        </w:rPr>
        <w:t xml:space="preserve">Completion Instructions for the Required Trainings  </w:t>
      </w:r>
    </w:p>
    <w:p w14:paraId="0338EA40" w14:textId="34E5AFA1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1A1A1A"/>
          <w:sz w:val="28"/>
          <w:szCs w:val="28"/>
        </w:rPr>
      </w:pPr>
      <w:r>
        <w:rPr>
          <w:b/>
          <w:bCs/>
          <w:color w:val="1A1A1A"/>
          <w:sz w:val="28"/>
          <w:szCs w:val="28"/>
        </w:rPr>
        <w:t xml:space="preserve">in the Cognia </w:t>
      </w:r>
      <w:r w:rsidR="007463C7">
        <w:rPr>
          <w:b/>
          <w:bCs/>
          <w:color w:val="1A1A1A"/>
          <w:sz w:val="28"/>
          <w:szCs w:val="28"/>
        </w:rPr>
        <w:t>Improvement Platform</w:t>
      </w:r>
      <w:r>
        <w:rPr>
          <w:b/>
          <w:bCs/>
          <w:color w:val="1A1A1A"/>
          <w:sz w:val="28"/>
          <w:szCs w:val="28"/>
        </w:rPr>
        <w:t xml:space="preserve">  </w:t>
      </w:r>
    </w:p>
    <w:p w14:paraId="397F55DE" w14:textId="7777777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40" w:lineRule="auto"/>
        <w:jc w:val="center"/>
        <w:rPr>
          <w:b/>
          <w:bCs/>
          <w:color w:val="1A1A1A"/>
          <w:sz w:val="28"/>
          <w:szCs w:val="28"/>
        </w:rPr>
      </w:pPr>
      <w:r>
        <w:rPr>
          <w:b/>
          <w:bCs/>
          <w:color w:val="1A1A1A"/>
          <w:sz w:val="28"/>
          <w:szCs w:val="28"/>
        </w:rPr>
        <w:t xml:space="preserve">Leaders - Fall 2026 </w:t>
      </w:r>
    </w:p>
    <w:p w14:paraId="650DFD77" w14:textId="7777777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4" w:line="240" w:lineRule="auto"/>
        <w:ind w:left="12"/>
        <w:rPr>
          <w:color w:val="1A1A1A"/>
        </w:rPr>
      </w:pPr>
      <w:r>
        <w:rPr>
          <w:color w:val="1A1A1A"/>
        </w:rPr>
        <w:t xml:space="preserve">Greetings,  </w:t>
      </w:r>
    </w:p>
    <w:p w14:paraId="64C1AA93" w14:textId="7777777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5" w:line="295" w:lineRule="auto"/>
        <w:ind w:left="7" w:right="132" w:firstLine="13"/>
        <w:rPr>
          <w:color w:val="000000"/>
        </w:rPr>
      </w:pPr>
      <w:r>
        <w:rPr>
          <w:color w:val="000000"/>
          <w:highlight w:val="white"/>
        </w:rPr>
        <w:t>In conjunction with the ALSDE, Cognia has developed</w:t>
      </w:r>
      <w:r>
        <w:rPr>
          <w:color w:val="000000"/>
        </w:rPr>
        <w:t xml:space="preserve"> nine learning labs (modules) to fulfill </w:t>
      </w:r>
      <w:proofErr w:type="gramStart"/>
      <w:r>
        <w:rPr>
          <w:color w:val="000000"/>
        </w:rPr>
        <w:t>the  state</w:t>
      </w:r>
      <w:proofErr w:type="gramEnd"/>
      <w:r>
        <w:rPr>
          <w:color w:val="000000"/>
        </w:rPr>
        <w:t xml:space="preserve"> requirements regarding the knowledge and training associated with the laws and </w:t>
      </w:r>
      <w:proofErr w:type="gramStart"/>
      <w:r>
        <w:rPr>
          <w:color w:val="000000"/>
        </w:rPr>
        <w:t>acts  listed</w:t>
      </w:r>
      <w:proofErr w:type="gramEnd"/>
      <w:r>
        <w:rPr>
          <w:color w:val="000000"/>
        </w:rPr>
        <w:t xml:space="preserve"> below. The Alabama Mandatory Training Library includes the following labs: </w:t>
      </w:r>
    </w:p>
    <w:p w14:paraId="74B9BC44" w14:textId="7777777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7" w:line="240" w:lineRule="auto"/>
        <w:ind w:left="378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Annalyn’s Law (Juvenile Offenders) </w:t>
      </w:r>
    </w:p>
    <w:p w14:paraId="14786801" w14:textId="7777777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78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Jamari Terrell Williams Act (Bullying Prevention) </w:t>
      </w:r>
    </w:p>
    <w:p w14:paraId="6A3AA608" w14:textId="7777777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78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Erin’s Law (Sexual Abuse) and Mandated Reporting </w:t>
      </w:r>
    </w:p>
    <w:p w14:paraId="67007F88" w14:textId="7777777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378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Suicide Prevention and Mental Health Awareness </w:t>
      </w:r>
    </w:p>
    <w:p w14:paraId="19298390" w14:textId="7777777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78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Understanding Gifted Students and the Gifted Referral Process </w:t>
      </w:r>
    </w:p>
    <w:p w14:paraId="68A8E827" w14:textId="7777777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78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Acceleration Procedures (Gifted) </w:t>
      </w:r>
    </w:p>
    <w:p w14:paraId="32DF0CE4" w14:textId="7777777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378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Gifted Behavior Traits: A TABs Tutorial </w:t>
      </w:r>
    </w:p>
    <w:p w14:paraId="2189718B" w14:textId="77777777" w:rsidR="007463C7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1" w:lineRule="auto"/>
        <w:ind w:left="378" w:right="424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Addressing Disproportionality (Lee vs. Macon) - Behavior &amp; Classroom Management </w:t>
      </w:r>
    </w:p>
    <w:p w14:paraId="31FE4FCF" w14:textId="6A8F9664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1" w:lineRule="auto"/>
        <w:ind w:left="378" w:right="424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Addressing Disproportionality (Lee vs. Macon) - Universal Design for Learning </w:t>
      </w:r>
    </w:p>
    <w:p w14:paraId="04488EE5" w14:textId="74F2D91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264" w:lineRule="auto"/>
        <w:ind w:left="4" w:right="93" w:hanging="3"/>
        <w:rPr>
          <w:color w:val="000000"/>
        </w:rPr>
      </w:pPr>
      <w:r>
        <w:rPr>
          <w:color w:val="000000"/>
        </w:rPr>
        <w:t xml:space="preserve">Your district/school has chosen to take advantage of </w:t>
      </w:r>
      <w:proofErr w:type="gramStart"/>
      <w:r>
        <w:rPr>
          <w:color w:val="000000"/>
        </w:rPr>
        <w:t>these</w:t>
      </w:r>
      <w:proofErr w:type="gramEnd"/>
      <w:r>
        <w:rPr>
          <w:color w:val="000000"/>
        </w:rPr>
        <w:t xml:space="preserve"> mandatory training Learning Labs.  They can be accessed within the Cognia </w:t>
      </w:r>
      <w:r w:rsidR="007463C7">
        <w:rPr>
          <w:color w:val="000000"/>
        </w:rPr>
        <w:t>Improvement Platform.</w:t>
      </w:r>
      <w:r>
        <w:rPr>
          <w:color w:val="000000"/>
        </w:rPr>
        <w:t xml:space="preserve"> With a few simple steps, you will be ready </w:t>
      </w:r>
      <w:proofErr w:type="gramStart"/>
      <w:r>
        <w:rPr>
          <w:color w:val="000000"/>
        </w:rPr>
        <w:t>to  take</w:t>
      </w:r>
      <w:proofErr w:type="gramEnd"/>
      <w:r>
        <w:rPr>
          <w:color w:val="000000"/>
        </w:rPr>
        <w:t xml:space="preserve"> advantage of these labs and so much more!  </w:t>
      </w:r>
    </w:p>
    <w:p w14:paraId="6E9EA0BC" w14:textId="550B759B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63" w:lineRule="auto"/>
        <w:ind w:left="4" w:right="351" w:firstLine="3"/>
        <w:rPr>
          <w:i/>
          <w:iCs/>
          <w:color w:val="000000"/>
          <w:highlight w:val="white"/>
        </w:rPr>
      </w:pPr>
      <w:r>
        <w:rPr>
          <w:b/>
          <w:bCs/>
          <w:color w:val="000000"/>
        </w:rPr>
        <w:t>Step 1</w:t>
      </w:r>
      <w:r>
        <w:rPr>
          <w:color w:val="000000"/>
        </w:rPr>
        <w:t xml:space="preserve">: </w:t>
      </w:r>
      <w:r>
        <w:rPr>
          <w:b/>
          <w:bCs/>
          <w:color w:val="000000"/>
        </w:rPr>
        <w:t xml:space="preserve">Register your staff </w:t>
      </w:r>
      <w:r>
        <w:rPr>
          <w:i/>
          <w:iCs/>
          <w:color w:val="000000"/>
        </w:rPr>
        <w:t>(skip this step for staff that already have an account)</w:t>
      </w:r>
      <w:r>
        <w:rPr>
          <w:color w:val="000000"/>
        </w:rPr>
        <w:t xml:space="preserve">. Prior </w:t>
      </w:r>
      <w:proofErr w:type="gramStart"/>
      <w:r>
        <w:rPr>
          <w:color w:val="000000"/>
        </w:rPr>
        <w:t>to  accessing</w:t>
      </w:r>
      <w:proofErr w:type="gramEnd"/>
      <w:r>
        <w:rPr>
          <w:color w:val="000000"/>
        </w:rPr>
        <w:t xml:space="preserve"> their accounts to complete the </w:t>
      </w:r>
      <w:proofErr w:type="gramStart"/>
      <w:r>
        <w:rPr>
          <w:color w:val="000000"/>
        </w:rPr>
        <w:t>trainings</w:t>
      </w:r>
      <w:proofErr w:type="gramEnd"/>
      <w:r>
        <w:rPr>
          <w:color w:val="000000"/>
        </w:rPr>
        <w:t xml:space="preserve">, your staff will need to be uploaded </w:t>
      </w:r>
      <w:proofErr w:type="gramStart"/>
      <w:r>
        <w:rPr>
          <w:color w:val="000000"/>
        </w:rPr>
        <w:t xml:space="preserve">into  </w:t>
      </w:r>
      <w:r>
        <w:rPr>
          <w:color w:val="0000FF"/>
          <w:u w:val="single"/>
        </w:rPr>
        <w:t>Cognia</w:t>
      </w:r>
      <w:proofErr w:type="gramEnd"/>
      <w:r>
        <w:rPr>
          <w:color w:val="0000FF"/>
          <w:u w:val="single"/>
        </w:rPr>
        <w:t xml:space="preserve"> Home</w:t>
      </w:r>
      <w:r>
        <w:rPr>
          <w:color w:val="000000"/>
        </w:rPr>
        <w:t>. For help with this process, refer to</w:t>
      </w:r>
      <w:r w:rsidR="007463C7" w:rsidRPr="007463C7">
        <w:t xml:space="preserve"> </w:t>
      </w:r>
      <w:hyperlink r:id="rId6" w:history="1">
        <w:r w:rsidR="007463C7" w:rsidRPr="007463C7">
          <w:rPr>
            <w:rStyle w:val="Hyperlink"/>
          </w:rPr>
          <w:t>Getting Started in the Cognia Improvement Platform - Cognia</w:t>
        </w:r>
      </w:hyperlink>
      <w:r>
        <w:rPr>
          <w:color w:val="000000"/>
        </w:rPr>
        <w:t xml:space="preserve">. </w:t>
      </w:r>
      <w:r>
        <w:rPr>
          <w:color w:val="000000"/>
          <w:highlight w:val="white"/>
        </w:rPr>
        <w:t xml:space="preserve">Once your teachers are uploaded into </w:t>
      </w:r>
      <w:r>
        <w:rPr>
          <w:color w:val="0000FF"/>
          <w:highlight w:val="white"/>
          <w:u w:val="single"/>
        </w:rPr>
        <w:t>Cognia Home</w:t>
      </w:r>
      <w:r>
        <w:rPr>
          <w:color w:val="000000"/>
          <w:highlight w:val="white"/>
        </w:rPr>
        <w:t xml:space="preserve">, they will receive </w:t>
      </w:r>
      <w:proofErr w:type="gramStart"/>
      <w:r>
        <w:rPr>
          <w:color w:val="000000"/>
          <w:highlight w:val="white"/>
        </w:rPr>
        <w:t>an</w:t>
      </w:r>
      <w:r>
        <w:rPr>
          <w:color w:val="000000"/>
        </w:rPr>
        <w:t xml:space="preserve">  </w:t>
      </w:r>
      <w:r>
        <w:rPr>
          <w:color w:val="000000"/>
          <w:highlight w:val="white"/>
        </w:rPr>
        <w:t>automated</w:t>
      </w:r>
      <w:proofErr w:type="gramEnd"/>
      <w:r>
        <w:rPr>
          <w:color w:val="000000"/>
          <w:highlight w:val="white"/>
        </w:rPr>
        <w:t xml:space="preserve"> email to help them set up their account. </w:t>
      </w:r>
      <w:r>
        <w:rPr>
          <w:i/>
          <w:iCs/>
          <w:color w:val="000000"/>
          <w:highlight w:val="white"/>
        </w:rPr>
        <w:t xml:space="preserve">*Note: This is a separate login </w:t>
      </w:r>
      <w:proofErr w:type="gramStart"/>
      <w:r>
        <w:rPr>
          <w:i/>
          <w:iCs/>
          <w:color w:val="000000"/>
          <w:highlight w:val="white"/>
        </w:rPr>
        <w:t xml:space="preserve">from </w:t>
      </w:r>
      <w:r>
        <w:rPr>
          <w:i/>
          <w:iCs/>
          <w:color w:val="000000"/>
        </w:rPr>
        <w:t xml:space="preserve"> </w:t>
      </w:r>
      <w:r>
        <w:rPr>
          <w:i/>
          <w:iCs/>
          <w:color w:val="000000"/>
          <w:highlight w:val="white"/>
        </w:rPr>
        <w:t>myJourney</w:t>
      </w:r>
      <w:proofErr w:type="gramEnd"/>
      <w:r>
        <w:rPr>
          <w:i/>
          <w:iCs/>
          <w:color w:val="000000"/>
          <w:highlight w:val="white"/>
        </w:rPr>
        <w:t xml:space="preserve">. Your myJourney username and password will not work for Cognia Home. </w:t>
      </w:r>
    </w:p>
    <w:p w14:paraId="56893951" w14:textId="3D5CC5E3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62" w:lineRule="auto"/>
        <w:ind w:left="8" w:right="488"/>
        <w:rPr>
          <w:color w:val="000000"/>
        </w:rPr>
      </w:pPr>
      <w:r>
        <w:rPr>
          <w:b/>
          <w:bCs/>
          <w:color w:val="000000"/>
          <w:highlight w:val="white"/>
        </w:rPr>
        <w:t>Step 2</w:t>
      </w:r>
      <w:r>
        <w:rPr>
          <w:color w:val="000000"/>
          <w:highlight w:val="white"/>
        </w:rPr>
        <w:t xml:space="preserve">: </w:t>
      </w:r>
      <w:r>
        <w:rPr>
          <w:b/>
          <w:bCs/>
          <w:color w:val="000000"/>
          <w:highlight w:val="white"/>
        </w:rPr>
        <w:t xml:space="preserve">Notify your staff. </w:t>
      </w:r>
      <w:r w:rsidR="007463C7">
        <w:rPr>
          <w:color w:val="000000"/>
          <w:highlight w:val="white"/>
        </w:rPr>
        <w:t xml:space="preserve">Use the </w:t>
      </w:r>
      <w:r w:rsidR="007463C7">
        <w:rPr>
          <w:b/>
          <w:bCs/>
          <w:color w:val="000000"/>
          <w:highlight w:val="white"/>
        </w:rPr>
        <w:t>Communication Template</w:t>
      </w:r>
      <w:r w:rsidR="007463C7">
        <w:rPr>
          <w:color w:val="000000"/>
          <w:highlight w:val="white"/>
        </w:rPr>
        <w:t xml:space="preserve"> found on </w:t>
      </w:r>
      <w:hyperlink r:id="rId7" w:history="1">
        <w:r w:rsidR="007463C7" w:rsidRPr="007463C7">
          <w:rPr>
            <w:rStyle w:val="Hyperlink"/>
            <w:highlight w:val="white"/>
          </w:rPr>
          <w:t>Alabama Department of Education Help &amp; Support – Alabama Department of Education Help &amp; Support</w:t>
        </w:r>
      </w:hyperlink>
      <w:r>
        <w:rPr>
          <w:color w:val="000000"/>
          <w:highlight w:val="white"/>
        </w:rPr>
        <w:t xml:space="preserve"> </w:t>
      </w:r>
      <w:r w:rsidR="007463C7">
        <w:rPr>
          <w:color w:val="000000"/>
        </w:rPr>
        <w:t>to i</w:t>
      </w:r>
      <w:r>
        <w:rPr>
          <w:color w:val="000000"/>
        </w:rPr>
        <w:t xml:space="preserve">nstruct </w:t>
      </w:r>
      <w:r>
        <w:rPr>
          <w:color w:val="000000"/>
          <w:highlight w:val="white"/>
        </w:rPr>
        <w:t>on how to access the training labs.</w:t>
      </w:r>
      <w:r>
        <w:rPr>
          <w:color w:val="000000"/>
        </w:rPr>
        <w:t xml:space="preserve">  </w:t>
      </w:r>
    </w:p>
    <w:p w14:paraId="6968BD5A" w14:textId="6269015C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95" w:lineRule="auto"/>
        <w:ind w:left="7" w:right="356"/>
        <w:rPr>
          <w:color w:val="000000"/>
        </w:rPr>
      </w:pPr>
      <w:r>
        <w:rPr>
          <w:b/>
          <w:bCs/>
          <w:color w:val="000000"/>
        </w:rPr>
        <w:lastRenderedPageBreak/>
        <w:t xml:space="preserve">Step 3: Navigate to the </w:t>
      </w:r>
      <w:r w:rsidR="007463C7">
        <w:rPr>
          <w:b/>
          <w:bCs/>
          <w:color w:val="000000"/>
        </w:rPr>
        <w:t>Alabama Mandatory Training</w:t>
      </w:r>
      <w:r>
        <w:rPr>
          <w:color w:val="000000"/>
        </w:rPr>
        <w:t xml:space="preserve">. From the Cognia Home portal, </w:t>
      </w:r>
      <w:r w:rsidR="007463C7">
        <w:rPr>
          <w:color w:val="000000"/>
        </w:rPr>
        <w:t>choose Alabama Mandatory Training from the left navigation</w:t>
      </w:r>
      <w:r>
        <w:rPr>
          <w:color w:val="000000"/>
        </w:rPr>
        <w:t>.</w:t>
      </w:r>
    </w:p>
    <w:p w14:paraId="7235193B" w14:textId="16D070EC" w:rsidR="00B13364" w:rsidRDefault="007463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8BD2A" wp14:editId="2524950B">
                <wp:simplePos x="0" y="0"/>
                <wp:positionH relativeFrom="column">
                  <wp:posOffset>38100</wp:posOffset>
                </wp:positionH>
                <wp:positionV relativeFrom="paragraph">
                  <wp:posOffset>2262505</wp:posOffset>
                </wp:positionV>
                <wp:extent cx="1238250" cy="276225"/>
                <wp:effectExtent l="76200" t="38100" r="19050" b="104775"/>
                <wp:wrapNone/>
                <wp:docPr id="1028676921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762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BB2B67" id="Oval 5" o:spid="_x0000_s1026" style="position:absolute;margin-left:3pt;margin-top:178.15pt;width:97.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" filled="f" strokecolor="#e00" strokeweight="3pt">
                <v:shadow on="t" color="black" opacity="22937f" origin=",.5" offset="0,.63889mm"/>
              </v:oval>
            </w:pict>
          </mc:Fallback>
        </mc:AlternateContent>
      </w:r>
      <w:r w:rsidRPr="007463C7">
        <w:rPr>
          <w:color w:val="000000"/>
        </w:rPr>
        <w:t> </w:t>
      </w:r>
      <w:r w:rsidRPr="007463C7">
        <w:rPr>
          <w:color w:val="000000"/>
        </w:rPr>
        <w:drawing>
          <wp:inline distT="0" distB="0" distL="0" distR="0" wp14:anchorId="2FE97293" wp14:editId="0DFEF7EE">
            <wp:extent cx="5972810" cy="3023235"/>
            <wp:effectExtent l="0" t="0" r="8890" b="5715"/>
            <wp:docPr id="18512020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5F014" w14:textId="484EE3E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5" w:lineRule="auto"/>
        <w:ind w:left="4" w:right="220" w:firstLine="3"/>
        <w:rPr>
          <w:color w:val="000000"/>
        </w:rPr>
      </w:pPr>
      <w:r>
        <w:rPr>
          <w:b/>
          <w:bCs/>
          <w:color w:val="000000"/>
        </w:rPr>
        <w:t>S</w:t>
      </w:r>
      <w:r>
        <w:rPr>
          <w:b/>
          <w:bCs/>
          <w:color w:val="000000"/>
          <w:highlight w:val="white"/>
        </w:rPr>
        <w:t>tep 4</w:t>
      </w:r>
      <w:r>
        <w:rPr>
          <w:color w:val="000000"/>
          <w:highlight w:val="white"/>
        </w:rPr>
        <w:t xml:space="preserve">: </w:t>
      </w:r>
      <w:r>
        <w:rPr>
          <w:b/>
          <w:bCs/>
          <w:color w:val="000000"/>
          <w:highlight w:val="white"/>
        </w:rPr>
        <w:t>Locate the Learning Labs</w:t>
      </w:r>
      <w:r>
        <w:rPr>
          <w:color w:val="000000"/>
          <w:highlight w:val="white"/>
        </w:rPr>
        <w:t xml:space="preserve">. Click in the “waffle” icon at the top of the main </w:t>
      </w:r>
      <w:proofErr w:type="gramStart"/>
      <w:r>
        <w:rPr>
          <w:color w:val="000000"/>
          <w:highlight w:val="white"/>
        </w:rPr>
        <w:t xml:space="preserve">dashboard </w:t>
      </w:r>
      <w:r>
        <w:rPr>
          <w:color w:val="000000"/>
        </w:rPr>
        <w:t xml:space="preserve"> </w:t>
      </w:r>
      <w:r>
        <w:rPr>
          <w:color w:val="000000"/>
          <w:highlight w:val="white"/>
        </w:rPr>
        <w:t>to</w:t>
      </w:r>
      <w:proofErr w:type="gramEnd"/>
      <w:r>
        <w:rPr>
          <w:color w:val="000000"/>
          <w:highlight w:val="white"/>
        </w:rPr>
        <w:t xml:space="preserve"> locate the lab Search Bar. Type in the first few words of the Learning Lab that you </w:t>
      </w:r>
      <w:proofErr w:type="gramStart"/>
      <w:r>
        <w:rPr>
          <w:color w:val="000000"/>
          <w:highlight w:val="white"/>
        </w:rPr>
        <w:t xml:space="preserve">are </w:t>
      </w:r>
      <w:r>
        <w:rPr>
          <w:color w:val="000000"/>
        </w:rPr>
        <w:t xml:space="preserve"> </w:t>
      </w:r>
      <w:r>
        <w:rPr>
          <w:color w:val="000000"/>
          <w:highlight w:val="white"/>
        </w:rPr>
        <w:t>choosing</w:t>
      </w:r>
      <w:proofErr w:type="gramEnd"/>
      <w:r>
        <w:rPr>
          <w:color w:val="000000"/>
          <w:highlight w:val="white"/>
        </w:rPr>
        <w:t xml:space="preserve"> to complete and click the “search” icon. Select the title of the lab to access </w:t>
      </w:r>
      <w:proofErr w:type="gramStart"/>
      <w:r>
        <w:rPr>
          <w:color w:val="000000"/>
          <w:highlight w:val="white"/>
        </w:rPr>
        <w:t xml:space="preserve">the </w:t>
      </w:r>
      <w:r>
        <w:rPr>
          <w:color w:val="000000"/>
        </w:rPr>
        <w:t xml:space="preserve"> </w:t>
      </w:r>
      <w:r>
        <w:rPr>
          <w:color w:val="000000"/>
          <w:highlight w:val="white"/>
        </w:rPr>
        <w:t>content</w:t>
      </w:r>
      <w:proofErr w:type="gramEnd"/>
      <w:r>
        <w:rPr>
          <w:color w:val="000000"/>
          <w:highlight w:val="white"/>
        </w:rPr>
        <w:t xml:space="preserve">. </w:t>
      </w:r>
      <w:r w:rsidR="007463C7">
        <w:rPr>
          <w:color w:val="000000"/>
        </w:rPr>
        <w:t>Be sure the title has 2026-27 in it.</w:t>
      </w:r>
    </w:p>
    <w:p w14:paraId="36A83503" w14:textId="1589F26E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 w:line="219" w:lineRule="auto"/>
        <w:ind w:right="645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2530F27D" wp14:editId="61D3761B">
            <wp:extent cx="627875" cy="46940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7875" cy="4694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 wp14:anchorId="0866DBB4" wp14:editId="6D073F76">
            <wp:extent cx="5399405" cy="255143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2551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lastRenderedPageBreak/>
        <w:drawing>
          <wp:inline distT="19050" distB="19050" distL="19050" distR="19050" wp14:anchorId="4A1A7F1D" wp14:editId="758B4F14">
            <wp:extent cx="5562600" cy="1111885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111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D2E5E0" w14:textId="22574480" w:rsidR="00B13364" w:rsidRDefault="005D1386" w:rsidP="007463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5" w:lineRule="auto"/>
        <w:ind w:left="4" w:firstLine="3"/>
        <w:rPr>
          <w:color w:val="000000"/>
        </w:rPr>
      </w:pPr>
      <w:r>
        <w:rPr>
          <w:b/>
          <w:bCs/>
          <w:color w:val="000000"/>
          <w:highlight w:val="white"/>
        </w:rPr>
        <w:t xml:space="preserve">Step 5: </w:t>
      </w:r>
      <w:r w:rsidR="007463C7">
        <w:rPr>
          <w:b/>
          <w:bCs/>
          <w:color w:val="000000"/>
          <w:highlight w:val="white"/>
        </w:rPr>
        <w:t xml:space="preserve">Navigate through each section of the lab to complete. </w:t>
      </w:r>
      <w:r>
        <w:rPr>
          <w:color w:val="000000"/>
          <w:highlight w:val="white"/>
        </w:rPr>
        <w:t xml:space="preserve">Don’t forget to bookmark </w:t>
      </w:r>
      <w:r>
        <w:rPr>
          <w:color w:val="0000FF"/>
          <w:highlight w:val="white"/>
          <w:u w:val="single"/>
        </w:rPr>
        <w:t xml:space="preserve">home.cognia.org </w:t>
      </w:r>
      <w:r>
        <w:rPr>
          <w:color w:val="000000"/>
          <w:highlight w:val="white"/>
        </w:rPr>
        <w:t xml:space="preserve">to access the training labs and other resources </w:t>
      </w:r>
      <w:r>
        <w:rPr>
          <w:color w:val="000000"/>
          <w:highlight w:val="white"/>
        </w:rPr>
        <w:t xml:space="preserve">available within the </w:t>
      </w:r>
      <w:r w:rsidR="007463C7">
        <w:rPr>
          <w:color w:val="000000"/>
          <w:highlight w:val="white"/>
        </w:rPr>
        <w:t>Cognia Improvement Platform.</w:t>
      </w:r>
      <w:r>
        <w:rPr>
          <w:color w:val="000000"/>
          <w:highlight w:val="white"/>
        </w:rPr>
        <w:t xml:space="preserve"> If you have any technical issues, please contact </w:t>
      </w:r>
      <w:hyperlink r:id="rId12" w:history="1">
        <w:r w:rsidR="007463C7" w:rsidRPr="00AF78B2">
          <w:rPr>
            <w:rStyle w:val="Hyperlink"/>
          </w:rPr>
          <w:t>alclientcare@cognia.org</w:t>
        </w:r>
      </w:hyperlink>
      <w:r w:rsidR="007463C7">
        <w:rPr>
          <w:color w:val="000000"/>
        </w:rPr>
        <w:t xml:space="preserve"> </w:t>
      </w:r>
    </w:p>
    <w:p w14:paraId="6EC981D6" w14:textId="7777777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40" w:lineRule="auto"/>
        <w:ind w:left="10"/>
        <w:rPr>
          <w:color w:val="1A1A1A"/>
        </w:rPr>
      </w:pPr>
      <w:r>
        <w:rPr>
          <w:color w:val="1A1A1A"/>
        </w:rPr>
        <w:t xml:space="preserve">Sincerely,  </w:t>
      </w:r>
    </w:p>
    <w:p w14:paraId="4386E92D" w14:textId="7777777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5"/>
        <w:rPr>
          <w:color w:val="1A1A1A"/>
        </w:rPr>
      </w:pPr>
      <w:r>
        <w:rPr>
          <w:color w:val="1A1A1A"/>
        </w:rPr>
        <w:t xml:space="preserve">The Cognia Learning Community Team </w:t>
      </w:r>
    </w:p>
    <w:p w14:paraId="29AC35B2" w14:textId="77777777" w:rsidR="00B13364" w:rsidRDefault="005D13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3" w:line="240" w:lineRule="auto"/>
        <w:ind w:left="17"/>
        <w:rPr>
          <w:color w:val="1A1A1A"/>
        </w:rPr>
      </w:pPr>
      <w:r>
        <w:rPr>
          <w:color w:val="1A1A1A"/>
        </w:rPr>
        <w:t xml:space="preserve">Need help? Contact Cognia  </w:t>
      </w:r>
    </w:p>
    <w:p w14:paraId="4E94B90B" w14:textId="0F1CAD7F" w:rsidR="00B13364" w:rsidRDefault="007463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" w:line="240" w:lineRule="auto"/>
        <w:ind w:left="9"/>
        <w:rPr>
          <w:color w:val="0000FF"/>
          <w:u w:val="single"/>
        </w:rPr>
      </w:pPr>
      <w:r>
        <w:rPr>
          <w:color w:val="0000FF"/>
          <w:u w:val="single"/>
        </w:rPr>
        <w:t>alc</w:t>
      </w:r>
      <w:r w:rsidR="005D1386">
        <w:rPr>
          <w:color w:val="0000FF"/>
          <w:u w:val="single"/>
        </w:rPr>
        <w:t>lientcare@cognia.org</w:t>
      </w:r>
    </w:p>
    <w:sectPr w:rsidR="00B13364">
      <w:pgSz w:w="12240" w:h="15840"/>
      <w:pgMar w:top="720" w:right="1394" w:bottom="1631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B2103B2-98AC-47BF-8DDB-4EEEE4F7B3CA}"/>
  </w:font>
  <w:font w:name="Noto Sans Symbols">
    <w:charset w:val="00"/>
    <w:family w:val="auto"/>
    <w:pitch w:val="default"/>
    <w:embedRegular r:id="rId2" w:fontKey="{04014E2A-8D09-4C52-A9A2-E846E7E57CD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E3C0EB4-EDE5-458F-915B-FC6E93A6FC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C8FA7C9-8A0D-4BD1-B342-5B64A89D0E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364"/>
    <w:rsid w:val="007463C7"/>
    <w:rsid w:val="00976DD7"/>
    <w:rsid w:val="00B1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B5096"/>
  <w15:docId w15:val="{86D0AE15-749A-4BD7-9937-D99FD3A2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463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3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lsde.onlinehelp.cognia.org/" TargetMode="External"/><Relationship Id="rId12" Type="http://schemas.openxmlformats.org/officeDocument/2006/relationships/hyperlink" Target="mailto:alclientcare@cogni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gnia.org/improvement-platform-get-started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Rachael Havey</cp:lastModifiedBy>
  <cp:revision>2</cp:revision>
  <dcterms:created xsi:type="dcterms:W3CDTF">2026-07-31T17:57:00Z</dcterms:created>
  <dcterms:modified xsi:type="dcterms:W3CDTF">2026-07-31T17:57:00Z</dcterms:modified>
</cp:coreProperties>
</file>