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AF8" w:rsidP="01BB835C" w:rsidRDefault="00E66AF8" w14:paraId="139B4AC5" w14:textId="3C9AB6A6">
      <w:pPr>
        <w:rPr>
          <w:rFonts w:ascii="Arial" w:hAnsi="Arial" w:eastAsia="Arial" w:cs="Arial"/>
          <w:color w:val="000000" w:themeColor="text1"/>
          <w:sz w:val="24"/>
          <w:szCs w:val="24"/>
        </w:rPr>
      </w:pPr>
    </w:p>
    <w:p w:rsidRPr="00462B4B" w:rsidR="00462B4B" w:rsidP="00462B4B" w:rsidRDefault="00462B4B" w14:paraId="159DF7E0" w14:textId="13D15242">
      <w:pPr>
        <w:rPr>
          <w:rFonts w:ascii="Arial" w:hAnsi="Arial" w:eastAsia="Arial" w:cs="Arial"/>
          <w:color w:val="000000" w:themeColor="text1"/>
        </w:rPr>
      </w:pPr>
      <w:r w:rsidRPr="00462B4B">
        <w:rPr>
          <w:rFonts w:ascii="Arial" w:hAnsi="Arial" w:eastAsia="Arial" w:cs="Arial"/>
          <w:color w:val="000000" w:themeColor="text1"/>
        </w:rPr>
        <w:t xml:space="preserve">PLUACLD1092 </w:t>
      </w:r>
      <w:proofErr w:type="spellStart"/>
      <w:r w:rsidRPr="00462B4B">
        <w:rPr>
          <w:rFonts w:ascii="Arial" w:hAnsi="Arial" w:eastAsia="Arial" w:cs="Arial"/>
          <w:color w:val="000000" w:themeColor="text1"/>
        </w:rPr>
        <w:t>Cognia</w:t>
      </w:r>
      <w:proofErr w:type="spellEnd"/>
      <w:r w:rsidRPr="00462B4B">
        <w:rPr>
          <w:rFonts w:ascii="Arial" w:hAnsi="Arial" w:eastAsia="Arial" w:cs="Arial"/>
          <w:color w:val="000000" w:themeColor="text1"/>
        </w:rPr>
        <w:t xml:space="preserve"> Learning Community (CLC) Instructional Leadership for Administrators</w:t>
      </w:r>
    </w:p>
    <w:p w:rsidRPr="00462B4B" w:rsidR="006547B7" w:rsidP="01BB835C" w:rsidRDefault="00462B4B" w14:paraId="352C8C9C" w14:textId="316C24DB">
      <w:pPr>
        <w:rPr>
          <w:rFonts w:ascii="Arial" w:hAnsi="Arial" w:eastAsia="Arial" w:cs="Arial"/>
          <w:color w:val="000000" w:themeColor="text1"/>
        </w:rPr>
      </w:pPr>
      <w:r w:rsidRPr="00462B4B">
        <w:rPr>
          <w:rFonts w:ascii="Arial" w:hAnsi="Arial" w:eastAsia="Arial" w:cs="Arial"/>
          <w:color w:val="000000" w:themeColor="text1"/>
        </w:rPr>
        <w:t>Course: #297754</w:t>
      </w:r>
    </w:p>
    <w:p w:rsidRPr="00A33A73" w:rsidR="00CB7AB0" w:rsidP="008D6B49" w:rsidRDefault="00CB7AB0" w14:paraId="3F5F19BE" w14:textId="3099FBF7">
      <w:pPr>
        <w:rPr>
          <w:rFonts w:ascii="Arial" w:hAnsi="Arial" w:cs="Arial"/>
        </w:rPr>
      </w:pPr>
      <w:proofErr w:type="spellStart"/>
      <w:r w:rsidRPr="00A33A73">
        <w:rPr>
          <w:rFonts w:ascii="Arial" w:hAnsi="Arial" w:cs="Arial"/>
        </w:rPr>
        <w:t>Cognia’s</w:t>
      </w:r>
      <w:proofErr w:type="spellEnd"/>
      <w:r w:rsidRPr="00A33A73">
        <w:rPr>
          <w:rFonts w:ascii="Arial" w:hAnsi="Arial" w:cs="Arial"/>
        </w:rPr>
        <w:t xml:space="preserve"> </w:t>
      </w:r>
      <w:r w:rsidRPr="00637EC4">
        <w:rPr>
          <w:rFonts w:ascii="Arial" w:hAnsi="Arial" w:cs="Arial"/>
        </w:rPr>
        <w:t>Instructional Leadership for Alabama Administrators</w:t>
      </w:r>
      <w:r w:rsidRPr="00A33A73">
        <w:rPr>
          <w:rFonts w:ascii="Arial" w:hAnsi="Arial" w:cs="Arial"/>
        </w:rPr>
        <w:t xml:space="preserve"> contains learning experiences across five dynamic learning modules, called Learning Labs, that are delivered via the </w:t>
      </w:r>
      <w:proofErr w:type="spellStart"/>
      <w:r w:rsidRPr="00A33A73">
        <w:rPr>
          <w:rFonts w:ascii="Arial" w:hAnsi="Arial" w:cs="Arial"/>
        </w:rPr>
        <w:t>Cognia</w:t>
      </w:r>
      <w:proofErr w:type="spellEnd"/>
      <w:r w:rsidRPr="00A33A73">
        <w:rPr>
          <w:rFonts w:ascii="Arial" w:hAnsi="Arial" w:cs="Arial"/>
        </w:rPr>
        <w:t xml:space="preserve"> Learning Community Platform.</w:t>
      </w:r>
      <w:r>
        <w:rPr>
          <w:rFonts w:ascii="Arial" w:hAnsi="Arial" w:cs="Arial"/>
        </w:rPr>
        <w:t xml:space="preserve"> Access to the Learning Community platform is provided to all public schools in Alabama, and </w:t>
      </w:r>
      <w:proofErr w:type="spellStart"/>
      <w:r>
        <w:rPr>
          <w:rFonts w:ascii="Arial" w:hAnsi="Arial" w:cs="Arial"/>
        </w:rPr>
        <w:t>Cognia</w:t>
      </w:r>
      <w:proofErr w:type="spellEnd"/>
      <w:r>
        <w:rPr>
          <w:rFonts w:ascii="Arial" w:hAnsi="Arial" w:cs="Arial"/>
        </w:rPr>
        <w:t xml:space="preserve"> is proud to provide this professional learning experience at no cost to Alabama leaders.</w:t>
      </w:r>
    </w:p>
    <w:p w:rsidR="00CB7AB0" w:rsidP="008D6B49" w:rsidRDefault="00CB7AB0" w14:paraId="378B1155" w14:textId="4746E1CE">
      <w:pPr>
        <w:rPr>
          <w:rFonts w:ascii="Arial" w:hAnsi="Arial" w:cs="Arial"/>
        </w:rPr>
      </w:pPr>
      <w:r w:rsidRPr="00A33A73">
        <w:rPr>
          <w:rFonts w:ascii="Arial" w:hAnsi="Arial" w:cs="Arial"/>
        </w:rPr>
        <w:t xml:space="preserve">The total number of program hours is set at 30, though </w:t>
      </w:r>
      <w:r>
        <w:rPr>
          <w:rFonts w:ascii="Arial" w:hAnsi="Arial" w:cs="Arial"/>
        </w:rPr>
        <w:t>individual</w:t>
      </w:r>
      <w:r w:rsidRPr="00A33A73">
        <w:rPr>
          <w:rFonts w:ascii="Arial" w:hAnsi="Arial" w:cs="Arial"/>
        </w:rPr>
        <w:t xml:space="preserve"> participant</w:t>
      </w:r>
      <w:r>
        <w:rPr>
          <w:rFonts w:ascii="Arial" w:hAnsi="Arial" w:cs="Arial"/>
        </w:rPr>
        <w:t xml:space="preserve"> time will differ due to the self-pacing for the program, as well as the contextual factors associated with job-embedded application for different program elements. Each module will require approximately six clock hours, with activities for the entire 30 hours (5 modules X 6 hours per module) of the program estimated as follows:</w:t>
      </w:r>
    </w:p>
    <w:p w:rsidRPr="00762934" w:rsidR="00CB7AB0" w:rsidP="00CB7AB0" w:rsidRDefault="00CB7AB0" w14:paraId="6D24B34E" w14:textId="77777777">
      <w:pPr>
        <w:pStyle w:val="ListParagraph"/>
        <w:numPr>
          <w:ilvl w:val="0"/>
          <w:numId w:val="4"/>
        </w:numPr>
        <w:spacing w:after="0" w:line="240" w:lineRule="auto"/>
        <w:rPr>
          <w:rFonts w:ascii="Arial" w:hAnsi="Arial" w:cs="Arial"/>
        </w:rPr>
      </w:pPr>
      <w:r w:rsidRPr="00762934">
        <w:rPr>
          <w:rFonts w:ascii="Arial" w:hAnsi="Arial" w:cs="Arial"/>
        </w:rPr>
        <w:t>In-platform learning: 10 hours</w:t>
      </w:r>
    </w:p>
    <w:p w:rsidRPr="00762934" w:rsidR="00CB7AB0" w:rsidP="00CB7AB0" w:rsidRDefault="00CB7AB0" w14:paraId="33FFB7D7" w14:textId="77777777">
      <w:pPr>
        <w:pStyle w:val="ListParagraph"/>
        <w:numPr>
          <w:ilvl w:val="0"/>
          <w:numId w:val="4"/>
        </w:numPr>
        <w:spacing w:after="0" w:line="240" w:lineRule="auto"/>
        <w:rPr>
          <w:rFonts w:ascii="Arial" w:hAnsi="Arial" w:cs="Arial"/>
        </w:rPr>
      </w:pPr>
      <w:r w:rsidRPr="00762934">
        <w:rPr>
          <w:rFonts w:ascii="Arial" w:hAnsi="Arial" w:cs="Arial"/>
        </w:rPr>
        <w:t>Project planning: 5 hours</w:t>
      </w:r>
    </w:p>
    <w:p w:rsidR="00CB7AB0" w:rsidP="008D6B49" w:rsidRDefault="00CB7AB0" w14:paraId="4F2F11A8" w14:textId="12C8871D">
      <w:pPr>
        <w:pStyle w:val="ListParagraph"/>
        <w:numPr>
          <w:ilvl w:val="0"/>
          <w:numId w:val="4"/>
        </w:numPr>
        <w:spacing w:after="0" w:line="240" w:lineRule="auto"/>
        <w:rPr>
          <w:rFonts w:ascii="Arial" w:hAnsi="Arial" w:cs="Arial"/>
        </w:rPr>
      </w:pPr>
      <w:r w:rsidRPr="00762934">
        <w:rPr>
          <w:rFonts w:ascii="Arial" w:hAnsi="Arial" w:cs="Arial"/>
        </w:rPr>
        <w:t>Job-embedded application:</w:t>
      </w:r>
      <w:r>
        <w:rPr>
          <w:rFonts w:ascii="Arial" w:hAnsi="Arial" w:cs="Arial"/>
        </w:rPr>
        <w:t xml:space="preserve"> </w:t>
      </w:r>
      <w:r w:rsidRPr="00762934">
        <w:rPr>
          <w:rFonts w:ascii="Arial" w:hAnsi="Arial" w:cs="Arial"/>
        </w:rPr>
        <w:t>15 hours</w:t>
      </w:r>
    </w:p>
    <w:p w:rsidRPr="00855566" w:rsidR="00855566" w:rsidP="00855566" w:rsidRDefault="00855566" w14:paraId="7AD34EE4" w14:textId="77777777">
      <w:pPr>
        <w:pStyle w:val="ListParagraph"/>
        <w:spacing w:after="0" w:line="240" w:lineRule="auto"/>
        <w:rPr>
          <w:rFonts w:ascii="Arial" w:hAnsi="Arial" w:cs="Arial"/>
        </w:rPr>
      </w:pPr>
    </w:p>
    <w:p w:rsidR="00CB7AB0" w:rsidP="00CB7AB0" w:rsidRDefault="00CB7AB0" w14:paraId="5BC54C25" w14:textId="77777777">
      <w:pPr>
        <w:rPr>
          <w:rFonts w:ascii="Arial" w:hAnsi="Arial" w:cs="Arial"/>
        </w:rPr>
      </w:pPr>
      <w:r>
        <w:rPr>
          <w:rFonts w:ascii="Arial" w:hAnsi="Arial" w:cs="Arial"/>
        </w:rPr>
        <w:t>The focus of this professional learning program is leadership Standard 2, and the program addresses a broad range of related practices, aligned to those outlined in the Professional Development Standards, Key Indicators of Knowledge, and Key Indicators of Ability provided by the Alabama Council for Leadership Development.</w:t>
      </w:r>
    </w:p>
    <w:p w:rsidR="00771D57" w:rsidP="00CB7AB0" w:rsidRDefault="00771D57" w14:paraId="4C5CEC49" w14:textId="3216A48C">
      <w:pPr>
        <w:rPr>
          <w:rFonts w:ascii="Arial" w:hAnsi="Arial" w:cs="Arial"/>
        </w:rPr>
      </w:pPr>
      <w:r>
        <w:rPr>
          <w:rFonts w:ascii="Arial" w:hAnsi="Arial" w:cs="Arial"/>
        </w:rPr>
        <w:t xml:space="preserve">Alabama </w:t>
      </w:r>
      <w:r w:rsidR="0015396A">
        <w:rPr>
          <w:rFonts w:ascii="Arial" w:hAnsi="Arial" w:cs="Arial"/>
        </w:rPr>
        <w:t>leaders will be provided</w:t>
      </w:r>
      <w:r>
        <w:rPr>
          <w:rFonts w:ascii="Arial" w:hAnsi="Arial" w:cs="Arial"/>
        </w:rPr>
        <w:t xml:space="preserve"> scaffolded support to implement research-based practices and processes at multiple levels in schools to drive improvements in teaching and learning. The following Learning Labs are included in this professional learning program:</w:t>
      </w:r>
    </w:p>
    <w:tbl>
      <w:tblPr>
        <w:tblStyle w:val="TableGrid"/>
        <w:tblW w:w="0" w:type="auto"/>
        <w:tblLayout w:type="fixed"/>
        <w:tblLook w:val="04A0" w:firstRow="1" w:lastRow="0" w:firstColumn="1" w:lastColumn="0" w:noHBand="0" w:noVBand="1"/>
      </w:tblPr>
      <w:tblGrid>
        <w:gridCol w:w="2160"/>
        <w:gridCol w:w="2250"/>
        <w:gridCol w:w="4950"/>
      </w:tblGrid>
      <w:tr w:rsidR="01BB835C" w:rsidTr="2EFF62AF" w14:paraId="56408C1B"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1BB835C" w:rsidP="01BB835C" w:rsidRDefault="01BB835C" w14:paraId="3051F811" w14:textId="13A119F6">
            <w:pPr>
              <w:jc w:val="center"/>
            </w:pPr>
            <w:r w:rsidRPr="01BB835C">
              <w:rPr>
                <w:rFonts w:ascii="Arial" w:hAnsi="Arial" w:eastAsia="Arial" w:cs="Arial"/>
                <w:color w:val="FFFFFF" w:themeColor="background1"/>
              </w:rPr>
              <w:t>Learning Lab Title</w:t>
            </w:r>
          </w:p>
        </w:tc>
        <w:tc>
          <w:tcPr>
            <w:tcW w:w="225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1BB835C" w:rsidP="01BB835C" w:rsidRDefault="01BB835C" w14:paraId="07082AD4" w14:textId="17273211">
            <w:pPr>
              <w:jc w:val="center"/>
            </w:pPr>
            <w:r w:rsidRPr="01BB835C">
              <w:rPr>
                <w:rFonts w:ascii="Arial" w:hAnsi="Arial" w:eastAsia="Arial" w:cs="Arial"/>
                <w:color w:val="FFFFFF" w:themeColor="background1"/>
              </w:rPr>
              <w:t>Level of Intended Impact</w:t>
            </w:r>
          </w:p>
        </w:tc>
        <w:tc>
          <w:tcPr>
            <w:tcW w:w="495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1BB835C" w:rsidP="01BB835C" w:rsidRDefault="01BB835C" w14:paraId="176E7EC7" w14:textId="3600B8C2">
            <w:pPr>
              <w:jc w:val="center"/>
            </w:pPr>
            <w:r w:rsidRPr="01BB835C">
              <w:rPr>
                <w:rFonts w:ascii="Arial" w:hAnsi="Arial" w:eastAsia="Arial" w:cs="Arial"/>
                <w:color w:val="FFFFFF" w:themeColor="background1"/>
              </w:rPr>
              <w:t>Module Focus</w:t>
            </w:r>
          </w:p>
        </w:tc>
      </w:tr>
      <w:tr w:rsidR="01BB835C" w:rsidTr="2EFF62AF" w14:paraId="2F3211C2"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RDefault="01BB835C" w14:paraId="5AE9592A" w14:textId="3426288C">
            <w:r w:rsidRPr="01BB835C">
              <w:rPr>
                <w:rFonts w:ascii="Arial" w:hAnsi="Arial" w:eastAsia="Arial" w:cs="Arial"/>
                <w:sz w:val="20"/>
                <w:szCs w:val="20"/>
              </w:rPr>
              <w:t>Model of Generative Change Literature Review</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P="01BB835C" w:rsidRDefault="01BB835C" w14:paraId="3694E115" w14:textId="7C336C56">
            <w:pPr>
              <w:jc w:val="center"/>
            </w:pPr>
            <w:r w:rsidRPr="01BB835C">
              <w:rPr>
                <w:rFonts w:ascii="Arial" w:hAnsi="Arial" w:eastAsia="Arial" w:cs="Arial"/>
                <w:sz w:val="20"/>
                <w:szCs w:val="20"/>
              </w:rPr>
              <w:t>Leadership Team</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1BB835C" w:rsidRDefault="01BB835C" w14:paraId="2FF28EBD" w14:textId="562BDF09">
            <w:r w:rsidRPr="01BB835C">
              <w:rPr>
                <w:rFonts w:ascii="Arial" w:hAnsi="Arial" w:eastAsia="Arial" w:cs="Arial"/>
                <w:sz w:val="20"/>
                <w:szCs w:val="20"/>
              </w:rPr>
              <w:t xml:space="preserve"> </w:t>
            </w:r>
          </w:p>
          <w:p w:rsidR="01BB835C" w:rsidRDefault="01BB835C" w14:paraId="2AA9881C" w14:textId="59FC5A0B">
            <w:r w:rsidRPr="01BB835C">
              <w:rPr>
                <w:rFonts w:ascii="Arial" w:hAnsi="Arial" w:eastAsia="Arial" w:cs="Arial"/>
                <w:sz w:val="20"/>
                <w:szCs w:val="20"/>
              </w:rPr>
              <w:t xml:space="preserve">A school (or system) leadership team or professional learning community will engage in choice-based literature study that focuses on the </w:t>
            </w:r>
            <w:proofErr w:type="gramStart"/>
            <w:r w:rsidRPr="01BB835C">
              <w:rPr>
                <w:rFonts w:ascii="Arial" w:hAnsi="Arial" w:eastAsia="Arial" w:cs="Arial"/>
                <w:sz w:val="20"/>
                <w:szCs w:val="20"/>
              </w:rPr>
              <w:t>current status</w:t>
            </w:r>
            <w:proofErr w:type="gramEnd"/>
            <w:r w:rsidRPr="01BB835C">
              <w:rPr>
                <w:rFonts w:ascii="Arial" w:hAnsi="Arial" w:eastAsia="Arial" w:cs="Arial"/>
                <w:sz w:val="20"/>
                <w:szCs w:val="20"/>
              </w:rPr>
              <w:t xml:space="preserve"> of professional learning in the organization compared to research-based guidance for effective outcomes. Team members will collaborate to identify opportunities to improve through the implementation of processes and practices to grow </w:t>
            </w:r>
            <w:proofErr w:type="gramStart"/>
            <w:r w:rsidRPr="01BB835C">
              <w:rPr>
                <w:rFonts w:ascii="Arial" w:hAnsi="Arial" w:eastAsia="Arial" w:cs="Arial"/>
                <w:sz w:val="20"/>
                <w:szCs w:val="20"/>
              </w:rPr>
              <w:t>teacher</w:t>
            </w:r>
            <w:proofErr w:type="gramEnd"/>
            <w:r w:rsidRPr="01BB835C">
              <w:rPr>
                <w:rFonts w:ascii="Arial" w:hAnsi="Arial" w:eastAsia="Arial" w:cs="Arial"/>
                <w:sz w:val="20"/>
                <w:szCs w:val="20"/>
              </w:rPr>
              <w:t xml:space="preserve"> agency.</w:t>
            </w:r>
          </w:p>
          <w:p w:rsidR="01BB835C" w:rsidRDefault="01BB835C" w14:paraId="57A85E53" w14:textId="174B9112">
            <w:r w:rsidRPr="01BB835C">
              <w:rPr>
                <w:rFonts w:ascii="Arial" w:hAnsi="Arial" w:eastAsia="Arial" w:cs="Arial"/>
                <w:sz w:val="20"/>
                <w:szCs w:val="20"/>
              </w:rPr>
              <w:t xml:space="preserve"> </w:t>
            </w:r>
          </w:p>
        </w:tc>
      </w:tr>
      <w:tr w:rsidR="01BB835C" w:rsidTr="2EFF62AF" w14:paraId="61231230"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01BB835C" w:rsidRDefault="01BB835C" w14:paraId="24C6907C" w14:textId="7817B848">
            <w:r w:rsidRPr="01BB835C">
              <w:rPr>
                <w:rFonts w:ascii="Arial" w:hAnsi="Arial" w:eastAsia="Arial" w:cs="Arial"/>
                <w:sz w:val="20"/>
                <w:szCs w:val="20"/>
              </w:rPr>
              <w:t>Leading Action Research in Schools and Systems</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01BB835C" w:rsidP="01BB835C" w:rsidRDefault="01BB835C" w14:paraId="30962390" w14:textId="63C7C2EC">
            <w:pPr>
              <w:jc w:val="center"/>
            </w:pPr>
            <w:r w:rsidRPr="01BB835C">
              <w:rPr>
                <w:rFonts w:ascii="Arial" w:hAnsi="Arial" w:eastAsia="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01BB835C" w:rsidRDefault="01BB835C" w14:paraId="18DFAF9C" w14:textId="70FA2A6B">
            <w:r w:rsidRPr="01BB835C">
              <w:rPr>
                <w:rFonts w:ascii="Arial" w:hAnsi="Arial" w:eastAsia="Arial" w:cs="Arial"/>
                <w:sz w:val="20"/>
                <w:szCs w:val="20"/>
              </w:rPr>
              <w:t xml:space="preserve"> </w:t>
            </w:r>
          </w:p>
          <w:p w:rsidR="01BB835C" w:rsidRDefault="01BB835C" w14:paraId="757728FF" w14:textId="726F0FF0">
            <w:r w:rsidRPr="01BB835C">
              <w:rPr>
                <w:rFonts w:ascii="Arial" w:hAnsi="Arial" w:eastAsia="Arial" w:cs="Arial"/>
                <w:sz w:val="20"/>
                <w:szCs w:val="20"/>
              </w:rPr>
              <w:t>Action research initiatives focus on local issues through the lens of problems of practice. This module will support leaders and teams with a toolkit for launching and managing action research initiatives.</w:t>
            </w:r>
          </w:p>
          <w:p w:rsidR="01BB835C" w:rsidRDefault="01BB835C" w14:paraId="0E61D93C" w14:textId="78CC2A3F">
            <w:r w:rsidRPr="01BB835C">
              <w:rPr>
                <w:rFonts w:ascii="Arial" w:hAnsi="Arial" w:eastAsia="Arial" w:cs="Arial"/>
                <w:sz w:val="20"/>
                <w:szCs w:val="20"/>
              </w:rPr>
              <w:t xml:space="preserve"> </w:t>
            </w:r>
          </w:p>
        </w:tc>
      </w:tr>
      <w:tr w:rsidR="01BB835C" w:rsidTr="2EFF62AF" w14:paraId="76EFEF72"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RDefault="01BB835C" w14:paraId="4AC1C065" w14:textId="24EA4796">
            <w:r w:rsidRPr="01BB835C">
              <w:rPr>
                <w:rFonts w:ascii="Arial" w:hAnsi="Arial" w:eastAsia="Arial" w:cs="Arial"/>
                <w:sz w:val="20"/>
                <w:szCs w:val="20"/>
              </w:rPr>
              <w:t>Promoting Collective Leadership</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P="01BB835C" w:rsidRDefault="01BB835C" w14:paraId="1858E9DC" w14:textId="5085F59B">
            <w:pPr>
              <w:jc w:val="center"/>
            </w:pPr>
            <w:r w:rsidRPr="01BB835C">
              <w:rPr>
                <w:rFonts w:ascii="Arial" w:hAnsi="Arial" w:eastAsia="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1BB835C" w:rsidRDefault="01BB835C" w14:paraId="6CBFDC48" w14:textId="77B8FB64">
            <w:r w:rsidRPr="01BB835C">
              <w:rPr>
                <w:rFonts w:ascii="Arial" w:hAnsi="Arial" w:eastAsia="Arial" w:cs="Arial"/>
                <w:sz w:val="20"/>
                <w:szCs w:val="20"/>
              </w:rPr>
              <w:t xml:space="preserve"> </w:t>
            </w:r>
          </w:p>
          <w:p w:rsidR="01BB835C" w:rsidRDefault="01BB835C" w14:paraId="7527311C" w14:textId="26825E2C">
            <w:r w:rsidRPr="01BB835C">
              <w:rPr>
                <w:rFonts w:ascii="Arial" w:hAnsi="Arial" w:eastAsia="Arial" w:cs="Arial"/>
                <w:sz w:val="20"/>
                <w:szCs w:val="20"/>
              </w:rPr>
              <w:t xml:space="preserve">Collective leadership initiatives provide opportunities for teachers and staff to develop </w:t>
            </w:r>
            <w:proofErr w:type="gramStart"/>
            <w:r w:rsidRPr="01BB835C">
              <w:rPr>
                <w:rFonts w:ascii="Arial" w:hAnsi="Arial" w:eastAsia="Arial" w:cs="Arial"/>
                <w:sz w:val="20"/>
                <w:szCs w:val="20"/>
              </w:rPr>
              <w:t>agency</w:t>
            </w:r>
            <w:proofErr w:type="gramEnd"/>
            <w:r w:rsidRPr="01BB835C">
              <w:rPr>
                <w:rFonts w:ascii="Arial" w:hAnsi="Arial" w:eastAsia="Arial" w:cs="Arial"/>
                <w:sz w:val="20"/>
                <w:szCs w:val="20"/>
              </w:rPr>
              <w:t xml:space="preserve"> through </w:t>
            </w:r>
            <w:r w:rsidRPr="01BB835C">
              <w:rPr>
                <w:rFonts w:ascii="Arial" w:hAnsi="Arial" w:eastAsia="Arial" w:cs="Arial"/>
                <w:sz w:val="20"/>
                <w:szCs w:val="20"/>
              </w:rPr>
              <w:lastRenderedPageBreak/>
              <w:t xml:space="preserve">meaningful work, </w:t>
            </w:r>
            <w:proofErr w:type="gramStart"/>
            <w:r w:rsidRPr="01BB835C">
              <w:rPr>
                <w:rFonts w:ascii="Arial" w:hAnsi="Arial" w:eastAsia="Arial" w:cs="Arial"/>
                <w:sz w:val="20"/>
                <w:szCs w:val="20"/>
              </w:rPr>
              <w:t>and also</w:t>
            </w:r>
            <w:proofErr w:type="gramEnd"/>
            <w:r w:rsidRPr="01BB835C">
              <w:rPr>
                <w:rFonts w:ascii="Arial" w:hAnsi="Arial" w:eastAsia="Arial" w:cs="Arial"/>
                <w:sz w:val="20"/>
                <w:szCs w:val="20"/>
              </w:rPr>
              <w:t xml:space="preserve"> provides capacity building experiences so that schools and systems can build a pipeline of leaders. This module provides ideas and strategies for leaders and teams to initiate leadership opportunities for a wider group of staff members.</w:t>
            </w:r>
          </w:p>
          <w:p w:rsidR="01BB835C" w:rsidRDefault="01BB835C" w14:paraId="0289C12F" w14:textId="1AABCD9C">
            <w:r w:rsidRPr="01BB835C">
              <w:rPr>
                <w:rFonts w:ascii="Arial" w:hAnsi="Arial" w:eastAsia="Arial" w:cs="Arial"/>
                <w:sz w:val="20"/>
                <w:szCs w:val="20"/>
              </w:rPr>
              <w:t xml:space="preserve"> </w:t>
            </w:r>
          </w:p>
        </w:tc>
      </w:tr>
      <w:tr w:rsidR="01BB835C" w:rsidTr="2EFF62AF" w14:paraId="0A2F5D3C"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01BB835C" w:rsidRDefault="01BB835C" w14:paraId="0B537393" w14:textId="2E1FEA5C">
            <w:r w:rsidRPr="01BB835C">
              <w:rPr>
                <w:rFonts w:ascii="Arial" w:hAnsi="Arial" w:eastAsia="Arial" w:cs="Arial"/>
                <w:sz w:val="20"/>
                <w:szCs w:val="20"/>
              </w:rPr>
              <w:lastRenderedPageBreak/>
              <w:t>Four Critical Questions for Highly Effective PLCs</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01BB835C" w:rsidP="01BB835C" w:rsidRDefault="01BB835C" w14:paraId="7EAACC8A" w14:textId="32D9EBD4">
            <w:pPr>
              <w:jc w:val="center"/>
            </w:pPr>
            <w:r w:rsidRPr="01BB835C">
              <w:rPr>
                <w:rFonts w:ascii="Arial" w:hAnsi="Arial" w:eastAsia="Arial" w:cs="Arial"/>
                <w:sz w:val="20"/>
                <w:szCs w:val="20"/>
              </w:rPr>
              <w:t>Professional Learning Communities</w:t>
            </w:r>
          </w:p>
        </w:tc>
        <w:tc>
          <w:tcPr>
            <w:tcW w:w="49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01BB835C" w:rsidRDefault="01BB835C" w14:paraId="3A0D7F99" w14:textId="119D0013">
            <w:r w:rsidRPr="01BB835C">
              <w:rPr>
                <w:rFonts w:ascii="Arial" w:hAnsi="Arial" w:eastAsia="Arial" w:cs="Arial"/>
                <w:sz w:val="20"/>
                <w:szCs w:val="20"/>
              </w:rPr>
              <w:t xml:space="preserve"> </w:t>
            </w:r>
          </w:p>
          <w:p w:rsidR="01BB835C" w:rsidRDefault="01BB835C" w14:paraId="3B05F8EB" w14:textId="70984C25">
            <w:r w:rsidRPr="01BB835C">
              <w:rPr>
                <w:rFonts w:ascii="Arial" w:hAnsi="Arial" w:eastAsia="Arial" w:cs="Arial"/>
                <w:sz w:val="20"/>
                <w:szCs w:val="20"/>
              </w:rPr>
              <w:t xml:space="preserve">Almost all schools have implemented some form of professional community structures. However, PLC effectiveness in improving teaching and learning is highly variable. This module provides clear structures to hone PLC practices to ensure a clear focus on the effectiveness of teaching and learning. </w:t>
            </w:r>
          </w:p>
          <w:p w:rsidR="01BB835C" w:rsidRDefault="01BB835C" w14:paraId="5DFF69EA" w14:textId="6F667DA1">
            <w:r w:rsidRPr="01BB835C">
              <w:rPr>
                <w:rFonts w:ascii="Arial" w:hAnsi="Arial" w:eastAsia="Arial" w:cs="Arial"/>
                <w:sz w:val="20"/>
                <w:szCs w:val="20"/>
              </w:rPr>
              <w:t xml:space="preserve"> </w:t>
            </w:r>
          </w:p>
        </w:tc>
      </w:tr>
      <w:tr w:rsidR="01BB835C" w:rsidTr="2EFF62AF" w14:paraId="2C812DA1"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RDefault="01BB835C" w14:paraId="5110AF45" w14:textId="01EF3B53">
            <w:proofErr w:type="spellStart"/>
            <w:r w:rsidRPr="01BB835C">
              <w:rPr>
                <w:rFonts w:ascii="Arial" w:hAnsi="Arial" w:eastAsia="Arial" w:cs="Arial"/>
                <w:sz w:val="20"/>
                <w:szCs w:val="20"/>
              </w:rPr>
              <w:t>Mindframes</w:t>
            </w:r>
            <w:proofErr w:type="spellEnd"/>
            <w:r w:rsidRPr="01BB835C">
              <w:rPr>
                <w:rFonts w:ascii="Arial" w:hAnsi="Arial" w:eastAsia="Arial" w:cs="Arial"/>
                <w:sz w:val="20"/>
                <w:szCs w:val="20"/>
              </w:rPr>
              <w:t xml:space="preserve"> for Visible Learning</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01BB835C" w:rsidP="01BB835C" w:rsidRDefault="01BB835C" w14:paraId="5E20C306" w14:textId="5D208AFF">
            <w:pPr>
              <w:jc w:val="center"/>
            </w:pPr>
            <w:r w:rsidRPr="01BB835C">
              <w:rPr>
                <w:rFonts w:ascii="Arial" w:hAnsi="Arial" w:eastAsia="Arial" w:cs="Arial"/>
                <w:sz w:val="20"/>
                <w:szCs w:val="20"/>
              </w:rPr>
              <w:t>Classroom</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1BB835C" w:rsidRDefault="01BB835C" w14:paraId="563F3152" w14:textId="093437EF">
            <w:r w:rsidRPr="01BB835C">
              <w:rPr>
                <w:rFonts w:ascii="Arial" w:hAnsi="Arial" w:eastAsia="Arial" w:cs="Arial"/>
                <w:sz w:val="20"/>
                <w:szCs w:val="20"/>
              </w:rPr>
              <w:t xml:space="preserve"> </w:t>
            </w:r>
          </w:p>
          <w:p w:rsidR="01BB835C" w:rsidRDefault="01BB835C" w14:paraId="73B1AEEA" w14:textId="07D4346F">
            <w:r w:rsidRPr="01BB835C">
              <w:rPr>
                <w:rFonts w:ascii="Arial" w:hAnsi="Arial" w:eastAsia="Arial" w:cs="Arial"/>
                <w:sz w:val="20"/>
                <w:szCs w:val="20"/>
              </w:rPr>
              <w:t>Metacognitive awareness is a foundation of self-efficacy and agency and is a cornerstone of the Model of Generative Change. This module provides tools for leaders that can be leveraged to support metacognitive development and awareness for teachers. These strategies can be used with groups of teachers in PLCs or with individual teachers as part of a coaching cycle.</w:t>
            </w:r>
          </w:p>
          <w:p w:rsidR="01BB835C" w:rsidP="01BB835C" w:rsidRDefault="01BB835C" w14:paraId="470290FD" w14:textId="6EFA4960">
            <w:pPr>
              <w:rPr>
                <w:rFonts w:ascii="Arial" w:hAnsi="Arial" w:eastAsia="Arial" w:cs="Arial"/>
                <w:sz w:val="20"/>
                <w:szCs w:val="20"/>
              </w:rPr>
            </w:pPr>
          </w:p>
        </w:tc>
      </w:tr>
    </w:tbl>
    <w:p w:rsidR="01BB835C" w:rsidP="01BB835C" w:rsidRDefault="01BB835C" w14:paraId="04A75E33" w14:textId="394D9AB1">
      <w:pPr>
        <w:rPr>
          <w:rFonts w:ascii="Calibri" w:hAnsi="Calibri" w:eastAsia="Calibri" w:cs="Calibri"/>
          <w:color w:val="000000" w:themeColor="text1"/>
          <w:sz w:val="24"/>
          <w:szCs w:val="24"/>
        </w:rPr>
      </w:pPr>
    </w:p>
    <w:p w:rsidR="00DF0B5C" w:rsidP="01BB835C" w:rsidRDefault="00DF0B5C" w14:paraId="5804910E" w14:textId="77777777">
      <w:pPr>
        <w:rPr>
          <w:rFonts w:ascii="Calibri" w:hAnsi="Calibri" w:eastAsia="Calibri" w:cs="Calibri"/>
          <w:color w:val="000000" w:themeColor="text1"/>
          <w:sz w:val="24"/>
          <w:szCs w:val="24"/>
        </w:rPr>
      </w:pPr>
    </w:p>
    <w:p w:rsidR="00291A07" w:rsidP="01BB835C" w:rsidRDefault="00291A07" w14:paraId="3C67213B" w14:textId="77777777">
      <w:pPr>
        <w:rPr>
          <w:rFonts w:ascii="Calibri" w:hAnsi="Calibri" w:eastAsia="Calibri" w:cs="Calibri"/>
          <w:color w:val="000000" w:themeColor="text1"/>
          <w:sz w:val="24"/>
          <w:szCs w:val="24"/>
        </w:rPr>
      </w:pPr>
    </w:p>
    <w:p w:rsidR="00291A07" w:rsidP="01BB835C" w:rsidRDefault="00291A07" w14:paraId="59EDA117" w14:textId="77777777">
      <w:pPr>
        <w:rPr>
          <w:rFonts w:ascii="Calibri" w:hAnsi="Calibri" w:eastAsia="Calibri" w:cs="Calibri"/>
          <w:color w:val="000000" w:themeColor="text1"/>
          <w:sz w:val="24"/>
          <w:szCs w:val="24"/>
        </w:rPr>
      </w:pPr>
    </w:p>
    <w:sectPr w:rsidR="00291A07">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913AA" w14:paraId="15518E42" w14:textId="77777777">
      <w:pPr>
        <w:spacing w:after="0" w:line="240" w:lineRule="auto"/>
      </w:pPr>
      <w:r>
        <w:separator/>
      </w:r>
    </w:p>
  </w:endnote>
  <w:endnote w:type="continuationSeparator" w:id="0">
    <w:p w:rsidR="00000000" w:rsidRDefault="009913AA" w14:paraId="353EE2E9" w14:textId="77777777">
      <w:pPr>
        <w:spacing w:after="0" w:line="240" w:lineRule="auto"/>
      </w:pPr>
      <w:r>
        <w:continuationSeparator/>
      </w:r>
    </w:p>
  </w:endnote>
  <w:endnote w:type="continuationNotice" w:id="1">
    <w:p w:rsidR="00090D16" w:rsidRDefault="00090D16" w14:paraId="6CDF00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BB835C" w:rsidTr="01BB835C" w14:paraId="01620350" w14:textId="77777777">
      <w:trPr>
        <w:trHeight w:val="300"/>
      </w:trPr>
      <w:tc>
        <w:tcPr>
          <w:tcW w:w="3120" w:type="dxa"/>
        </w:tcPr>
        <w:p w:rsidR="01BB835C" w:rsidP="01BB835C" w:rsidRDefault="01BB835C" w14:paraId="3873F682" w14:textId="14F6795C">
          <w:pPr>
            <w:pStyle w:val="Header"/>
            <w:ind w:left="-115"/>
          </w:pPr>
        </w:p>
      </w:tc>
      <w:tc>
        <w:tcPr>
          <w:tcW w:w="3120" w:type="dxa"/>
        </w:tcPr>
        <w:p w:rsidR="01BB835C" w:rsidP="01BB835C" w:rsidRDefault="01BB835C" w14:paraId="45C20887" w14:textId="4D8D6835">
          <w:pPr>
            <w:pStyle w:val="Header"/>
            <w:jc w:val="center"/>
          </w:pPr>
        </w:p>
      </w:tc>
      <w:tc>
        <w:tcPr>
          <w:tcW w:w="3120" w:type="dxa"/>
        </w:tcPr>
        <w:p w:rsidR="01BB835C" w:rsidP="01BB835C" w:rsidRDefault="01BB835C" w14:paraId="335A2C05" w14:textId="01A99D9E">
          <w:pPr>
            <w:pStyle w:val="Header"/>
            <w:ind w:right="-115"/>
            <w:jc w:val="right"/>
          </w:pPr>
        </w:p>
      </w:tc>
    </w:tr>
  </w:tbl>
  <w:p w:rsidR="01BB835C" w:rsidP="01BB835C" w:rsidRDefault="01BB835C" w14:paraId="0FA2EA87" w14:textId="54F3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913AA" w14:paraId="364D3BE7" w14:textId="77777777">
      <w:pPr>
        <w:spacing w:after="0" w:line="240" w:lineRule="auto"/>
      </w:pPr>
      <w:r>
        <w:separator/>
      </w:r>
    </w:p>
  </w:footnote>
  <w:footnote w:type="continuationSeparator" w:id="0">
    <w:p w:rsidR="00000000" w:rsidRDefault="009913AA" w14:paraId="34BFE114" w14:textId="77777777">
      <w:pPr>
        <w:spacing w:after="0" w:line="240" w:lineRule="auto"/>
      </w:pPr>
      <w:r>
        <w:continuationSeparator/>
      </w:r>
    </w:p>
  </w:footnote>
  <w:footnote w:type="continuationNotice" w:id="1">
    <w:p w:rsidR="00090D16" w:rsidRDefault="00090D16" w14:paraId="3BB3A82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BB835C" w:rsidTr="01BB835C" w14:paraId="6BB0EC72" w14:textId="77777777">
      <w:trPr>
        <w:trHeight w:val="300"/>
      </w:trPr>
      <w:tc>
        <w:tcPr>
          <w:tcW w:w="3120" w:type="dxa"/>
        </w:tcPr>
        <w:p w:rsidR="01BB835C" w:rsidP="01BB835C" w:rsidRDefault="01BB835C" w14:paraId="0D2B3464" w14:textId="5CC48575">
          <w:pPr>
            <w:pStyle w:val="Header"/>
            <w:ind w:left="-115"/>
          </w:pPr>
        </w:p>
      </w:tc>
      <w:tc>
        <w:tcPr>
          <w:tcW w:w="3120" w:type="dxa"/>
        </w:tcPr>
        <w:p w:rsidR="01BB835C" w:rsidP="01BB835C" w:rsidRDefault="01BB835C" w14:paraId="627A35AF" w14:textId="546F3ABF">
          <w:pPr>
            <w:pStyle w:val="Header"/>
            <w:jc w:val="center"/>
          </w:pPr>
        </w:p>
      </w:tc>
      <w:tc>
        <w:tcPr>
          <w:tcW w:w="3120" w:type="dxa"/>
        </w:tcPr>
        <w:p w:rsidR="01BB835C" w:rsidP="01BB835C" w:rsidRDefault="01BB835C" w14:paraId="03EE25BD" w14:textId="4A404A80">
          <w:pPr>
            <w:pStyle w:val="Header"/>
            <w:ind w:right="-115"/>
            <w:jc w:val="right"/>
          </w:pPr>
        </w:p>
      </w:tc>
    </w:tr>
  </w:tbl>
  <w:p w:rsidR="01BB835C" w:rsidP="01BB835C" w:rsidRDefault="01BB835C" w14:paraId="37EA8B48" w14:textId="5EA7C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E3E7"/>
    <w:multiLevelType w:val="hybridMultilevel"/>
    <w:tmpl w:val="DDCC808A"/>
    <w:lvl w:ilvl="0" w:tplc="D6CCC7A0">
      <w:start w:val="1"/>
      <w:numFmt w:val="bullet"/>
      <w:lvlText w:val="·"/>
      <w:lvlJc w:val="left"/>
      <w:pPr>
        <w:ind w:left="720" w:hanging="360"/>
      </w:pPr>
      <w:rPr>
        <w:rFonts w:hint="default" w:ascii="Symbol" w:hAnsi="Symbol"/>
      </w:rPr>
    </w:lvl>
    <w:lvl w:ilvl="1" w:tplc="BFF4AAD8">
      <w:start w:val="1"/>
      <w:numFmt w:val="bullet"/>
      <w:lvlText w:val="o"/>
      <w:lvlJc w:val="left"/>
      <w:pPr>
        <w:ind w:left="1440" w:hanging="360"/>
      </w:pPr>
      <w:rPr>
        <w:rFonts w:hint="default" w:ascii="Courier New" w:hAnsi="Courier New"/>
      </w:rPr>
    </w:lvl>
    <w:lvl w:ilvl="2" w:tplc="D3723430">
      <w:start w:val="1"/>
      <w:numFmt w:val="bullet"/>
      <w:lvlText w:val=""/>
      <w:lvlJc w:val="left"/>
      <w:pPr>
        <w:ind w:left="2160" w:hanging="360"/>
      </w:pPr>
      <w:rPr>
        <w:rFonts w:hint="default" w:ascii="Wingdings" w:hAnsi="Wingdings"/>
      </w:rPr>
    </w:lvl>
    <w:lvl w:ilvl="3" w:tplc="9E1C145E">
      <w:start w:val="1"/>
      <w:numFmt w:val="bullet"/>
      <w:lvlText w:val=""/>
      <w:lvlJc w:val="left"/>
      <w:pPr>
        <w:ind w:left="2880" w:hanging="360"/>
      </w:pPr>
      <w:rPr>
        <w:rFonts w:hint="default" w:ascii="Symbol" w:hAnsi="Symbol"/>
      </w:rPr>
    </w:lvl>
    <w:lvl w:ilvl="4" w:tplc="DC5063F6">
      <w:start w:val="1"/>
      <w:numFmt w:val="bullet"/>
      <w:lvlText w:val="o"/>
      <w:lvlJc w:val="left"/>
      <w:pPr>
        <w:ind w:left="3600" w:hanging="360"/>
      </w:pPr>
      <w:rPr>
        <w:rFonts w:hint="default" w:ascii="Courier New" w:hAnsi="Courier New"/>
      </w:rPr>
    </w:lvl>
    <w:lvl w:ilvl="5" w:tplc="32BA89E2">
      <w:start w:val="1"/>
      <w:numFmt w:val="bullet"/>
      <w:lvlText w:val=""/>
      <w:lvlJc w:val="left"/>
      <w:pPr>
        <w:ind w:left="4320" w:hanging="360"/>
      </w:pPr>
      <w:rPr>
        <w:rFonts w:hint="default" w:ascii="Wingdings" w:hAnsi="Wingdings"/>
      </w:rPr>
    </w:lvl>
    <w:lvl w:ilvl="6" w:tplc="43CC7466">
      <w:start w:val="1"/>
      <w:numFmt w:val="bullet"/>
      <w:lvlText w:val=""/>
      <w:lvlJc w:val="left"/>
      <w:pPr>
        <w:ind w:left="5040" w:hanging="360"/>
      </w:pPr>
      <w:rPr>
        <w:rFonts w:hint="default" w:ascii="Symbol" w:hAnsi="Symbol"/>
      </w:rPr>
    </w:lvl>
    <w:lvl w:ilvl="7" w:tplc="C6EE3C46">
      <w:start w:val="1"/>
      <w:numFmt w:val="bullet"/>
      <w:lvlText w:val="o"/>
      <w:lvlJc w:val="left"/>
      <w:pPr>
        <w:ind w:left="5760" w:hanging="360"/>
      </w:pPr>
      <w:rPr>
        <w:rFonts w:hint="default" w:ascii="Courier New" w:hAnsi="Courier New"/>
      </w:rPr>
    </w:lvl>
    <w:lvl w:ilvl="8" w:tplc="BDD67208">
      <w:start w:val="1"/>
      <w:numFmt w:val="bullet"/>
      <w:lvlText w:val=""/>
      <w:lvlJc w:val="left"/>
      <w:pPr>
        <w:ind w:left="6480" w:hanging="360"/>
      </w:pPr>
      <w:rPr>
        <w:rFonts w:hint="default" w:ascii="Wingdings" w:hAnsi="Wingdings"/>
      </w:rPr>
    </w:lvl>
  </w:abstractNum>
  <w:abstractNum w:abstractNumId="1" w15:restartNumberingAfterBreak="0">
    <w:nsid w:val="240E9552"/>
    <w:multiLevelType w:val="hybridMultilevel"/>
    <w:tmpl w:val="C56A13D6"/>
    <w:lvl w:ilvl="0" w:tplc="5EEA9728">
      <w:start w:val="1"/>
      <w:numFmt w:val="bullet"/>
      <w:lvlText w:val="·"/>
      <w:lvlJc w:val="left"/>
      <w:pPr>
        <w:ind w:left="720" w:hanging="360"/>
      </w:pPr>
      <w:rPr>
        <w:rFonts w:hint="default" w:ascii="Symbol" w:hAnsi="Symbol"/>
      </w:rPr>
    </w:lvl>
    <w:lvl w:ilvl="1" w:tplc="6562BD36">
      <w:start w:val="1"/>
      <w:numFmt w:val="bullet"/>
      <w:lvlText w:val="o"/>
      <w:lvlJc w:val="left"/>
      <w:pPr>
        <w:ind w:left="1440" w:hanging="360"/>
      </w:pPr>
      <w:rPr>
        <w:rFonts w:hint="default" w:ascii="Courier New" w:hAnsi="Courier New"/>
      </w:rPr>
    </w:lvl>
    <w:lvl w:ilvl="2" w:tplc="67A45C50">
      <w:start w:val="1"/>
      <w:numFmt w:val="bullet"/>
      <w:lvlText w:val=""/>
      <w:lvlJc w:val="left"/>
      <w:pPr>
        <w:ind w:left="2160" w:hanging="360"/>
      </w:pPr>
      <w:rPr>
        <w:rFonts w:hint="default" w:ascii="Wingdings" w:hAnsi="Wingdings"/>
      </w:rPr>
    </w:lvl>
    <w:lvl w:ilvl="3" w:tplc="FA10CB68">
      <w:start w:val="1"/>
      <w:numFmt w:val="bullet"/>
      <w:lvlText w:val=""/>
      <w:lvlJc w:val="left"/>
      <w:pPr>
        <w:ind w:left="2880" w:hanging="360"/>
      </w:pPr>
      <w:rPr>
        <w:rFonts w:hint="default" w:ascii="Symbol" w:hAnsi="Symbol"/>
      </w:rPr>
    </w:lvl>
    <w:lvl w:ilvl="4" w:tplc="EEEC9032">
      <w:start w:val="1"/>
      <w:numFmt w:val="bullet"/>
      <w:lvlText w:val="o"/>
      <w:lvlJc w:val="left"/>
      <w:pPr>
        <w:ind w:left="3600" w:hanging="360"/>
      </w:pPr>
      <w:rPr>
        <w:rFonts w:hint="default" w:ascii="Courier New" w:hAnsi="Courier New"/>
      </w:rPr>
    </w:lvl>
    <w:lvl w:ilvl="5" w:tplc="3B86F94A">
      <w:start w:val="1"/>
      <w:numFmt w:val="bullet"/>
      <w:lvlText w:val=""/>
      <w:lvlJc w:val="left"/>
      <w:pPr>
        <w:ind w:left="4320" w:hanging="360"/>
      </w:pPr>
      <w:rPr>
        <w:rFonts w:hint="default" w:ascii="Wingdings" w:hAnsi="Wingdings"/>
      </w:rPr>
    </w:lvl>
    <w:lvl w:ilvl="6" w:tplc="1F86B57E">
      <w:start w:val="1"/>
      <w:numFmt w:val="bullet"/>
      <w:lvlText w:val=""/>
      <w:lvlJc w:val="left"/>
      <w:pPr>
        <w:ind w:left="5040" w:hanging="360"/>
      </w:pPr>
      <w:rPr>
        <w:rFonts w:hint="default" w:ascii="Symbol" w:hAnsi="Symbol"/>
      </w:rPr>
    </w:lvl>
    <w:lvl w:ilvl="7" w:tplc="2F66C67E">
      <w:start w:val="1"/>
      <w:numFmt w:val="bullet"/>
      <w:lvlText w:val="o"/>
      <w:lvlJc w:val="left"/>
      <w:pPr>
        <w:ind w:left="5760" w:hanging="360"/>
      </w:pPr>
      <w:rPr>
        <w:rFonts w:hint="default" w:ascii="Courier New" w:hAnsi="Courier New"/>
      </w:rPr>
    </w:lvl>
    <w:lvl w:ilvl="8" w:tplc="4BDEE772">
      <w:start w:val="1"/>
      <w:numFmt w:val="bullet"/>
      <w:lvlText w:val=""/>
      <w:lvlJc w:val="left"/>
      <w:pPr>
        <w:ind w:left="6480" w:hanging="360"/>
      </w:pPr>
      <w:rPr>
        <w:rFonts w:hint="default" w:ascii="Wingdings" w:hAnsi="Wingdings"/>
      </w:rPr>
    </w:lvl>
  </w:abstractNum>
  <w:abstractNum w:abstractNumId="2" w15:restartNumberingAfterBreak="0">
    <w:nsid w:val="46EE4B93"/>
    <w:multiLevelType w:val="hybridMultilevel"/>
    <w:tmpl w:val="2C5AC0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15280A"/>
    <w:multiLevelType w:val="hybridMultilevel"/>
    <w:tmpl w:val="C8142BBC"/>
    <w:lvl w:ilvl="0" w:tplc="137CE1DA">
      <w:start w:val="1"/>
      <w:numFmt w:val="bullet"/>
      <w:lvlText w:val="·"/>
      <w:lvlJc w:val="left"/>
      <w:pPr>
        <w:ind w:left="720" w:hanging="360"/>
      </w:pPr>
      <w:rPr>
        <w:rFonts w:hint="default" w:ascii="Symbol" w:hAnsi="Symbol"/>
      </w:rPr>
    </w:lvl>
    <w:lvl w:ilvl="1" w:tplc="2D06C9A4">
      <w:start w:val="1"/>
      <w:numFmt w:val="bullet"/>
      <w:lvlText w:val="o"/>
      <w:lvlJc w:val="left"/>
      <w:pPr>
        <w:ind w:left="1440" w:hanging="360"/>
      </w:pPr>
      <w:rPr>
        <w:rFonts w:hint="default" w:ascii="Courier New" w:hAnsi="Courier New"/>
      </w:rPr>
    </w:lvl>
    <w:lvl w:ilvl="2" w:tplc="2F1C99AA">
      <w:start w:val="1"/>
      <w:numFmt w:val="bullet"/>
      <w:lvlText w:val=""/>
      <w:lvlJc w:val="left"/>
      <w:pPr>
        <w:ind w:left="2160" w:hanging="360"/>
      </w:pPr>
      <w:rPr>
        <w:rFonts w:hint="default" w:ascii="Wingdings" w:hAnsi="Wingdings"/>
      </w:rPr>
    </w:lvl>
    <w:lvl w:ilvl="3" w:tplc="859AEA6A">
      <w:start w:val="1"/>
      <w:numFmt w:val="bullet"/>
      <w:lvlText w:val=""/>
      <w:lvlJc w:val="left"/>
      <w:pPr>
        <w:ind w:left="2880" w:hanging="360"/>
      </w:pPr>
      <w:rPr>
        <w:rFonts w:hint="default" w:ascii="Symbol" w:hAnsi="Symbol"/>
      </w:rPr>
    </w:lvl>
    <w:lvl w:ilvl="4" w:tplc="713C8FBC">
      <w:start w:val="1"/>
      <w:numFmt w:val="bullet"/>
      <w:lvlText w:val="o"/>
      <w:lvlJc w:val="left"/>
      <w:pPr>
        <w:ind w:left="3600" w:hanging="360"/>
      </w:pPr>
      <w:rPr>
        <w:rFonts w:hint="default" w:ascii="Courier New" w:hAnsi="Courier New"/>
      </w:rPr>
    </w:lvl>
    <w:lvl w:ilvl="5" w:tplc="BF20E856">
      <w:start w:val="1"/>
      <w:numFmt w:val="bullet"/>
      <w:lvlText w:val=""/>
      <w:lvlJc w:val="left"/>
      <w:pPr>
        <w:ind w:left="4320" w:hanging="360"/>
      </w:pPr>
      <w:rPr>
        <w:rFonts w:hint="default" w:ascii="Wingdings" w:hAnsi="Wingdings"/>
      </w:rPr>
    </w:lvl>
    <w:lvl w:ilvl="6" w:tplc="F1C2486C">
      <w:start w:val="1"/>
      <w:numFmt w:val="bullet"/>
      <w:lvlText w:val=""/>
      <w:lvlJc w:val="left"/>
      <w:pPr>
        <w:ind w:left="5040" w:hanging="360"/>
      </w:pPr>
      <w:rPr>
        <w:rFonts w:hint="default" w:ascii="Symbol" w:hAnsi="Symbol"/>
      </w:rPr>
    </w:lvl>
    <w:lvl w:ilvl="7" w:tplc="D0EA20E4">
      <w:start w:val="1"/>
      <w:numFmt w:val="bullet"/>
      <w:lvlText w:val="o"/>
      <w:lvlJc w:val="left"/>
      <w:pPr>
        <w:ind w:left="5760" w:hanging="360"/>
      </w:pPr>
      <w:rPr>
        <w:rFonts w:hint="default" w:ascii="Courier New" w:hAnsi="Courier New"/>
      </w:rPr>
    </w:lvl>
    <w:lvl w:ilvl="8" w:tplc="2E78076E">
      <w:start w:val="1"/>
      <w:numFmt w:val="bullet"/>
      <w:lvlText w:val=""/>
      <w:lvlJc w:val="left"/>
      <w:pPr>
        <w:ind w:left="6480" w:hanging="360"/>
      </w:pPr>
      <w:rPr>
        <w:rFonts w:hint="default" w:ascii="Wingdings" w:hAnsi="Wingdings"/>
      </w:rPr>
    </w:lvl>
  </w:abstractNum>
  <w:num w:numId="1" w16cid:durableId="1280842883">
    <w:abstractNumId w:val="3"/>
  </w:num>
  <w:num w:numId="2" w16cid:durableId="1693457931">
    <w:abstractNumId w:val="1"/>
  </w:num>
  <w:num w:numId="3" w16cid:durableId="861818786">
    <w:abstractNumId w:val="0"/>
  </w:num>
  <w:num w:numId="4" w16cid:durableId="23712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64E4DA"/>
    <w:rsid w:val="00090D16"/>
    <w:rsid w:val="000F1DB6"/>
    <w:rsid w:val="0010065C"/>
    <w:rsid w:val="0015396A"/>
    <w:rsid w:val="0025184D"/>
    <w:rsid w:val="00291A07"/>
    <w:rsid w:val="00296920"/>
    <w:rsid w:val="00322BDE"/>
    <w:rsid w:val="003469C5"/>
    <w:rsid w:val="00407619"/>
    <w:rsid w:val="00417313"/>
    <w:rsid w:val="0044459D"/>
    <w:rsid w:val="00455C33"/>
    <w:rsid w:val="00462B4B"/>
    <w:rsid w:val="004866FD"/>
    <w:rsid w:val="005A7570"/>
    <w:rsid w:val="0062438F"/>
    <w:rsid w:val="006547B7"/>
    <w:rsid w:val="00704211"/>
    <w:rsid w:val="007708FF"/>
    <w:rsid w:val="00771D57"/>
    <w:rsid w:val="007921B5"/>
    <w:rsid w:val="00805A90"/>
    <w:rsid w:val="00812C27"/>
    <w:rsid w:val="00855566"/>
    <w:rsid w:val="008C1C7F"/>
    <w:rsid w:val="009913AA"/>
    <w:rsid w:val="00993E77"/>
    <w:rsid w:val="00A66DD8"/>
    <w:rsid w:val="00A97A8C"/>
    <w:rsid w:val="00AC6886"/>
    <w:rsid w:val="00AE7235"/>
    <w:rsid w:val="00B523D1"/>
    <w:rsid w:val="00BC5C07"/>
    <w:rsid w:val="00C23260"/>
    <w:rsid w:val="00C6651B"/>
    <w:rsid w:val="00CB7AB0"/>
    <w:rsid w:val="00CC7457"/>
    <w:rsid w:val="00D07841"/>
    <w:rsid w:val="00D50064"/>
    <w:rsid w:val="00D55AB4"/>
    <w:rsid w:val="00DA363A"/>
    <w:rsid w:val="00DF0B5C"/>
    <w:rsid w:val="00E4150E"/>
    <w:rsid w:val="00E66AF8"/>
    <w:rsid w:val="00EC5EC1"/>
    <w:rsid w:val="00EF3D84"/>
    <w:rsid w:val="00F03414"/>
    <w:rsid w:val="00F66BB9"/>
    <w:rsid w:val="00F91252"/>
    <w:rsid w:val="00FB3893"/>
    <w:rsid w:val="01BB835C"/>
    <w:rsid w:val="0730725E"/>
    <w:rsid w:val="0DFFD9CE"/>
    <w:rsid w:val="27D77399"/>
    <w:rsid w:val="2EFF62AF"/>
    <w:rsid w:val="37F49BCB"/>
    <w:rsid w:val="39A99D82"/>
    <w:rsid w:val="455828BE"/>
    <w:rsid w:val="5CDAE653"/>
    <w:rsid w:val="6D24C635"/>
    <w:rsid w:val="6E64E4DA"/>
    <w:rsid w:val="70309865"/>
    <w:rsid w:val="77728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E4DA"/>
  <w15:chartTrackingRefBased/>
  <w15:docId w15:val="{DDF7BE3F-E7B4-4775-854A-087D614D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9aa0ec-d255-4ba7-a571-60b932664c17">
      <Terms xmlns="http://schemas.microsoft.com/office/infopath/2007/PartnerControls"/>
    </lcf76f155ced4ddcb4097134ff3c332f>
    <Cognia_x0020_Performance_x0020_Standards xmlns="199aa0ec-d255-4ba7-a571-60b932664c17" xsi:nil="true"/>
    <TaxCatchAll xmlns="86a0612c-35cd-471b-9e91-04f10a683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18427852B794DA8EE101DA22E3725" ma:contentTypeVersion="14" ma:contentTypeDescription="Create a new document." ma:contentTypeScope="" ma:versionID="d95660523819e40291267d1093df9513">
  <xsd:schema xmlns:xsd="http://www.w3.org/2001/XMLSchema" xmlns:xs="http://www.w3.org/2001/XMLSchema" xmlns:p="http://schemas.microsoft.com/office/2006/metadata/properties" xmlns:ns2="199aa0ec-d255-4ba7-a571-60b932664c17" xmlns:ns3="86a0612c-35cd-471b-9e91-04f10a68338b" targetNamespace="http://schemas.microsoft.com/office/2006/metadata/properties" ma:root="true" ma:fieldsID="ab73904d91f36f0330d629c2de978c06" ns2:_="" ns3:_="">
    <xsd:import namespace="199aa0ec-d255-4ba7-a571-60b932664c17"/>
    <xsd:import namespace="86a0612c-35cd-471b-9e91-04f10a683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gnia_x0020_Performance_x0020_Standar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a0ec-d255-4ba7-a571-60b93266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8561ab-e456-4509-9c5d-1e49325195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gnia_x0020_Performance_x0020_Standards" ma:index="20" nillable="true" ma:displayName="Cognia Performance Standards" ma:internalName="Cognia_x0020_Performance_x0020_Standards">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0612c-35cd-471b-9e91-04f10a683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8b5649-7956-4d64-862f-2a8aa793c9c7}" ma:internalName="TaxCatchAll" ma:showField="CatchAllData" ma:web="86a0612c-35cd-471b-9e91-04f10a683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2B34A-D9FE-4357-9956-F9B4EB85E765}">
  <ds:schemaRefs>
    <ds:schemaRef ds:uri="86a0612c-35cd-471b-9e91-04f10a68338b"/>
    <ds:schemaRef ds:uri="http://schemas.microsoft.com/office/2006/metadata/properties"/>
    <ds:schemaRef ds:uri="199aa0ec-d255-4ba7-a571-60b932664c17"/>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B046C9-9B05-492D-889A-5F92DD7611E0}">
  <ds:schemaRefs>
    <ds:schemaRef ds:uri="http://schemas.microsoft.com/sharepoint/v3/contenttype/forms"/>
  </ds:schemaRefs>
</ds:datastoreItem>
</file>

<file path=customXml/itemProps3.xml><?xml version="1.0" encoding="utf-8"?>
<ds:datastoreItem xmlns:ds="http://schemas.openxmlformats.org/officeDocument/2006/customXml" ds:itemID="{E7B94286-4D0F-402F-BD0C-FD37889A6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a0ec-d255-4ba7-a571-60b932664c17"/>
    <ds:schemaRef ds:uri="86a0612c-35cd-471b-9e91-04f10a68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Auburn Keaveney</dc:creator>
  <keywords/>
  <dc:description/>
  <lastModifiedBy>Auburn Keaveney</lastModifiedBy>
  <revision>3</revision>
  <dcterms:created xsi:type="dcterms:W3CDTF">2023-05-16T19:23:00.0000000Z</dcterms:created>
  <dcterms:modified xsi:type="dcterms:W3CDTF">2023-06-23T13:53:54.0911322Z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0x010100C7818427852B794DA8EE101DA22E3725</vt:lpwstr>
  </property>
  <property fmtid="{D5CDD505-2E9C-101B-9397-08002B2CF9AE}" pid="3" name="MediaServiceImageTags">
    <vt:lpwstr/>
  </property>
</Properties>
</file>